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FC" w:rsidRDefault="00CD16FC" w:rsidP="00CD16FC">
      <w:pPr>
        <w:pStyle w:val="1"/>
        <w:spacing w:after="50" w:afterAutospacing="0"/>
        <w:rPr>
          <w:rFonts w:ascii="Verdana" w:hAnsi="Verdana"/>
          <w:color w:val="777777"/>
          <w:sz w:val="16"/>
          <w:szCs w:val="16"/>
        </w:rPr>
      </w:pPr>
      <w:r>
        <w:rPr>
          <w:rFonts w:ascii="Verdana" w:hAnsi="Verdana"/>
          <w:color w:val="777777"/>
          <w:sz w:val="16"/>
          <w:szCs w:val="16"/>
        </w:rPr>
        <w:t>Объявление для субъектов малого и среднего предпринимательства по получению субсидий в 2023 году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Администрация Березовского района в рамках реализации муниципальной программы «Поддержка и развитие субъектов малого и среднего предпринимательства в Березовском районе» </w:t>
      </w:r>
      <w:r>
        <w:rPr>
          <w:b/>
          <w:bCs/>
        </w:rPr>
        <w:t>объявляет новый отбор заявок</w:t>
      </w:r>
      <w:r>
        <w:t> на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2023 году.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Прием заявок участников отбора осуществляется </w:t>
      </w:r>
      <w:r>
        <w:rPr>
          <w:b/>
          <w:bCs/>
        </w:rPr>
        <w:t>с 05.06.2023 по 04.07.2023 включительно</w:t>
      </w:r>
      <w:r>
        <w:t xml:space="preserve"> в рабочие дни недели понедельник – четверг с 8.00 часов до 17.00 часов местного времени, пятница с 8.00 до 15.00 часов (перерыв </w:t>
      </w:r>
      <w:proofErr w:type="gramStart"/>
      <w:r>
        <w:t>с</w:t>
      </w:r>
      <w:proofErr w:type="gramEnd"/>
      <w:r>
        <w:t xml:space="preserve"> 12.00 </w:t>
      </w:r>
      <w:proofErr w:type="gramStart"/>
      <w:r>
        <w:t>до</w:t>
      </w:r>
      <w:proofErr w:type="gramEnd"/>
      <w:r>
        <w:t xml:space="preserve"> 13.00 часов) по адресу: 662520, Красноярский край, Березовский район, пгт. Березовка, ул. Центральная, д. 19, каб. 3-13.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Субсидии предоставляются в целях возмещения части затрат при осуществлении предпринимательской деятельности, связанных с производством (реализацией) товаров, выполненных работ, оказанием услуг, понесенных в течение календарного года, предшествующего году подачи и в году подачи в период до даты подачи заявки, на следующие статьи расходов: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1) подключение к инженерной инфраструктуре, аренда объектов государственного и муниципального имущества, текущий ремонт помещения, приобретение оборудования, мебели и оргтехники;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2) 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3) уплата процентов по кредитам на приобретение оборудования;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proofErr w:type="gramStart"/>
      <w:r>
        <w:t>4) сертификация (декларирование) продукции (продовольственного сырья, товаров, работ, услуг), лицензирование деятельности;</w:t>
      </w:r>
      <w:proofErr w:type="gramEnd"/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 xml:space="preserve">5) </w:t>
      </w:r>
      <w:proofErr w:type="gramStart"/>
      <w:r>
        <w:t>связанные</w:t>
      </w:r>
      <w:proofErr w:type="gramEnd"/>
      <w:r>
        <w:t xml:space="preserve"> с обучением, подготовкой и переподготовкой персонала;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6) выплаты по передаче прав по франшизе (паушальный взнос).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Требования, которым должен соответствовать получатель: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proofErr w:type="gramStart"/>
      <w:r>
        <w:t>Осуществлять виды деятельности, за исключением видов деятельности, включенных в </w:t>
      </w:r>
      <w:hyperlink r:id="rId4" w:history="1">
        <w:r>
          <w:rPr>
            <w:rStyle w:val="a6"/>
            <w:rFonts w:ascii="Tahoma" w:hAnsi="Tahoma" w:cs="Tahoma"/>
            <w:color w:val="666666"/>
          </w:rPr>
          <w:t>разделы B</w:t>
        </w:r>
      </w:hyperlink>
      <w:r>
        <w:t>, </w:t>
      </w:r>
      <w:hyperlink r:id="rId5" w:history="1">
        <w:r>
          <w:rPr>
            <w:rStyle w:val="a6"/>
            <w:rFonts w:ascii="Tahoma" w:hAnsi="Tahoma" w:cs="Tahoma"/>
            <w:color w:val="666666"/>
          </w:rPr>
          <w:t>D</w:t>
        </w:r>
      </w:hyperlink>
      <w:r>
        <w:t>, </w:t>
      </w:r>
      <w:hyperlink r:id="rId6" w:history="1">
        <w:r>
          <w:rPr>
            <w:rStyle w:val="a6"/>
            <w:rFonts w:ascii="Tahoma" w:hAnsi="Tahoma" w:cs="Tahoma"/>
            <w:color w:val="666666"/>
          </w:rPr>
          <w:t>E</w:t>
        </w:r>
      </w:hyperlink>
      <w:r>
        <w:t> (за исключением </w:t>
      </w:r>
      <w:hyperlink r:id="rId7" w:history="1">
        <w:r>
          <w:rPr>
            <w:rStyle w:val="a6"/>
            <w:rFonts w:ascii="Tahoma" w:hAnsi="Tahoma" w:cs="Tahoma"/>
            <w:color w:val="666666"/>
          </w:rPr>
          <w:t>класса 38</w:t>
        </w:r>
      </w:hyperlink>
      <w:r>
        <w:t>), </w:t>
      </w:r>
      <w:hyperlink r:id="rId8" w:history="1">
        <w:r>
          <w:rPr>
            <w:rStyle w:val="a6"/>
            <w:rFonts w:ascii="Tahoma" w:hAnsi="Tahoma" w:cs="Tahoma"/>
            <w:color w:val="666666"/>
          </w:rPr>
          <w:t>G</w:t>
        </w:r>
      </w:hyperlink>
      <w:r>
        <w:t> (за исключением </w:t>
      </w:r>
      <w:hyperlink r:id="rId9" w:history="1">
        <w:r>
          <w:rPr>
            <w:rStyle w:val="a6"/>
            <w:rFonts w:ascii="Tahoma" w:hAnsi="Tahoma" w:cs="Tahoma"/>
            <w:color w:val="666666"/>
          </w:rPr>
          <w:t>класса 47</w:t>
        </w:r>
      </w:hyperlink>
      <w:r>
        <w:t>), </w:t>
      </w:r>
      <w:hyperlink r:id="rId10" w:history="1">
        <w:r>
          <w:rPr>
            <w:rStyle w:val="a6"/>
            <w:rFonts w:ascii="Tahoma" w:hAnsi="Tahoma" w:cs="Tahoma"/>
            <w:color w:val="666666"/>
          </w:rPr>
          <w:t>K</w:t>
        </w:r>
      </w:hyperlink>
      <w:r>
        <w:t>, </w:t>
      </w:r>
      <w:hyperlink r:id="rId11" w:history="1">
        <w:r>
          <w:rPr>
            <w:rStyle w:val="a6"/>
            <w:rFonts w:ascii="Tahoma" w:hAnsi="Tahoma" w:cs="Tahoma"/>
            <w:color w:val="666666"/>
          </w:rPr>
          <w:t>L</w:t>
        </w:r>
      </w:hyperlink>
      <w:r>
        <w:t>, </w:t>
      </w:r>
      <w:hyperlink r:id="rId12" w:history="1">
        <w:r>
          <w:rPr>
            <w:rStyle w:val="a6"/>
            <w:rFonts w:ascii="Tahoma" w:hAnsi="Tahoma" w:cs="Tahoma"/>
            <w:color w:val="666666"/>
          </w:rPr>
          <w:t>M</w:t>
        </w:r>
      </w:hyperlink>
      <w:r>
        <w:t> (за исключением</w:t>
      </w:r>
      <w:proofErr w:type="gramEnd"/>
      <w:r>
        <w:t> </w:t>
      </w:r>
      <w:hyperlink r:id="rId13" w:history="1">
        <w:r>
          <w:rPr>
            <w:rStyle w:val="a6"/>
            <w:rFonts w:ascii="Tahoma" w:hAnsi="Tahoma" w:cs="Tahoma"/>
            <w:color w:val="666666"/>
          </w:rPr>
          <w:t>групп 70.21</w:t>
        </w:r>
      </w:hyperlink>
      <w:r>
        <w:t>, </w:t>
      </w:r>
      <w:hyperlink r:id="rId14" w:history="1">
        <w:r>
          <w:rPr>
            <w:rStyle w:val="a6"/>
            <w:rFonts w:ascii="Tahoma" w:hAnsi="Tahoma" w:cs="Tahoma"/>
            <w:color w:val="666666"/>
          </w:rPr>
          <w:t>71.11</w:t>
        </w:r>
      </w:hyperlink>
      <w:r>
        <w:t>, </w:t>
      </w:r>
      <w:hyperlink r:id="rId15" w:history="1">
        <w:r>
          <w:rPr>
            <w:rStyle w:val="a6"/>
            <w:rFonts w:ascii="Tahoma" w:hAnsi="Tahoma" w:cs="Tahoma"/>
            <w:color w:val="666666"/>
          </w:rPr>
          <w:t>73.11</w:t>
        </w:r>
      </w:hyperlink>
      <w:r>
        <w:t>, </w:t>
      </w:r>
      <w:hyperlink r:id="rId16" w:history="1">
        <w:r>
          <w:rPr>
            <w:rStyle w:val="a6"/>
            <w:rFonts w:ascii="Tahoma" w:hAnsi="Tahoma" w:cs="Tahoma"/>
            <w:color w:val="666666"/>
          </w:rPr>
          <w:t>74.10</w:t>
        </w:r>
      </w:hyperlink>
      <w:r>
        <w:t>, </w:t>
      </w:r>
      <w:hyperlink r:id="rId17" w:history="1">
        <w:r>
          <w:rPr>
            <w:rStyle w:val="a6"/>
            <w:rFonts w:ascii="Tahoma" w:hAnsi="Tahoma" w:cs="Tahoma"/>
            <w:color w:val="666666"/>
          </w:rPr>
          <w:t>74.20</w:t>
        </w:r>
      </w:hyperlink>
      <w:r>
        <w:t>, </w:t>
      </w:r>
      <w:hyperlink r:id="rId18" w:history="1">
        <w:r>
          <w:rPr>
            <w:rStyle w:val="a6"/>
            <w:rFonts w:ascii="Tahoma" w:hAnsi="Tahoma" w:cs="Tahoma"/>
            <w:color w:val="666666"/>
          </w:rPr>
          <w:t>74.30</w:t>
        </w:r>
      </w:hyperlink>
      <w:r>
        <w:t>, </w:t>
      </w:r>
      <w:hyperlink r:id="rId19" w:history="1">
        <w:r>
          <w:rPr>
            <w:rStyle w:val="a6"/>
            <w:rFonts w:ascii="Tahoma" w:hAnsi="Tahoma" w:cs="Tahoma"/>
            <w:color w:val="666666"/>
          </w:rPr>
          <w:t>класса 75</w:t>
        </w:r>
      </w:hyperlink>
      <w:r>
        <w:t>), </w:t>
      </w:r>
      <w:hyperlink r:id="rId20" w:history="1">
        <w:r>
          <w:rPr>
            <w:rStyle w:val="a6"/>
            <w:rFonts w:ascii="Tahoma" w:hAnsi="Tahoma" w:cs="Tahoma"/>
            <w:color w:val="666666"/>
          </w:rPr>
          <w:t>N</w:t>
        </w:r>
      </w:hyperlink>
      <w:r>
        <w:t> (за исключением </w:t>
      </w:r>
      <w:hyperlink r:id="rId21" w:history="1">
        <w:r>
          <w:rPr>
            <w:rStyle w:val="a6"/>
            <w:rFonts w:ascii="Tahoma" w:hAnsi="Tahoma" w:cs="Tahoma"/>
            <w:color w:val="666666"/>
          </w:rPr>
          <w:t>группы 77.22</w:t>
        </w:r>
      </w:hyperlink>
      <w:r>
        <w:t>), </w:t>
      </w:r>
      <w:hyperlink r:id="rId22" w:history="1">
        <w:r>
          <w:rPr>
            <w:rStyle w:val="a6"/>
            <w:rFonts w:ascii="Tahoma" w:hAnsi="Tahoma" w:cs="Tahoma"/>
            <w:color w:val="666666"/>
          </w:rPr>
          <w:t>O</w:t>
        </w:r>
      </w:hyperlink>
      <w:r>
        <w:t>, </w:t>
      </w:r>
      <w:hyperlink r:id="rId23" w:history="1">
        <w:r>
          <w:rPr>
            <w:rStyle w:val="a6"/>
            <w:rFonts w:ascii="Tahoma" w:hAnsi="Tahoma" w:cs="Tahoma"/>
            <w:color w:val="666666"/>
          </w:rPr>
          <w:t>S</w:t>
        </w:r>
      </w:hyperlink>
      <w:r>
        <w:t> (за исключением </w:t>
      </w:r>
      <w:hyperlink r:id="rId24" w:history="1">
        <w:r>
          <w:rPr>
            <w:rStyle w:val="a6"/>
            <w:rFonts w:ascii="Tahoma" w:hAnsi="Tahoma" w:cs="Tahoma"/>
            <w:color w:val="666666"/>
          </w:rPr>
          <w:t>классов 95</w:t>
        </w:r>
      </w:hyperlink>
      <w:r>
        <w:t>, </w:t>
      </w:r>
      <w:hyperlink r:id="rId25" w:history="1">
        <w:r>
          <w:rPr>
            <w:rStyle w:val="a6"/>
            <w:rFonts w:ascii="Tahoma" w:hAnsi="Tahoma" w:cs="Tahoma"/>
            <w:color w:val="666666"/>
          </w:rPr>
          <w:t>96</w:t>
        </w:r>
      </w:hyperlink>
      <w:r>
        <w:t>), </w:t>
      </w:r>
      <w:hyperlink r:id="rId26" w:history="1">
        <w:r>
          <w:rPr>
            <w:rStyle w:val="a6"/>
            <w:rFonts w:ascii="Tahoma" w:hAnsi="Tahoma" w:cs="Tahoma"/>
            <w:color w:val="666666"/>
          </w:rPr>
          <w:t>T</w:t>
        </w:r>
      </w:hyperlink>
      <w:r>
        <w:t>, </w:t>
      </w:r>
      <w:hyperlink r:id="rId27" w:history="1">
        <w:r>
          <w:rPr>
            <w:rStyle w:val="a6"/>
            <w:rFonts w:ascii="Tahoma" w:hAnsi="Tahoma" w:cs="Tahoma"/>
            <w:color w:val="666666"/>
          </w:rPr>
          <w:t>U</w:t>
        </w:r>
      </w:hyperlink>
      <w:r>
        <w:t xml:space="preserve"> Общероссийского классификатора видов экономической деятельности ОК 029-2014, утвержденного Приказом </w:t>
      </w:r>
      <w:proofErr w:type="spellStart"/>
      <w:r>
        <w:t>Росстандарта</w:t>
      </w:r>
      <w:proofErr w:type="spellEnd"/>
      <w:r>
        <w:t xml:space="preserve"> от 31.01.2014 № 14-ст.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участники отбора не должны получать средства из федерального бюджета (бюджета Красноярского края, местного бюджета), из которого планируется предоставление субсидии в соответствии с Порядком, на основании иных нормативных правовых актов на цели, установленные данным Порядком.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Субъект малого и среднего предпринимательства: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proofErr w:type="gramStart"/>
      <w:r>
        <w:t>- включен в реестр субъектов малого и среднего предпринимательства;</w:t>
      </w:r>
      <w:proofErr w:type="gramEnd"/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- обязуется не прекращать деятельность в течение 24 месяцев после получения субсидии;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lastRenderedPageBreak/>
        <w:t xml:space="preserve">- обязуется сохранить численность работников через 12 месяцев после получения субсидии в размере не менее 100% среднесписочной численности работников субъекта малого и среднего предпринимательства на 1 января года получения субсидии. </w:t>
      </w:r>
      <w:proofErr w:type="gramStart"/>
      <w:r>
        <w:t>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субсидии;</w:t>
      </w:r>
      <w:proofErr w:type="gramEnd"/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 xml:space="preserve">- уровень заработной платы работников получателя поддержки, не менее минимального </w:t>
      </w:r>
      <w:proofErr w:type="gramStart"/>
      <w:r>
        <w:t>размера оплаты труда</w:t>
      </w:r>
      <w:proofErr w:type="gramEnd"/>
      <w:r>
        <w:t xml:space="preserve"> с учетом районного коэффициента и северной надбавки;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proofErr w:type="gramStart"/>
      <w:r>
        <w:t>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- в реестре дисквалифицированных лиц отсутствуют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proofErr w:type="gramStart"/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28" w:history="1">
        <w:r>
          <w:rPr>
            <w:rStyle w:val="a6"/>
            <w:rFonts w:ascii="Tahoma" w:hAnsi="Tahoma" w:cs="Tahoma"/>
            <w:color w:val="666666"/>
          </w:rPr>
          <w:t>перечень</w:t>
        </w:r>
      </w:hyperlink>
      <w:r>
        <w:t> 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Физическое лицо, налогоплательщик НПД, претендующий на получение поддержки: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- обязуется не прекращать деятельность в течение 12 месяцев после получения субсидии;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- осуществляет деятельность в качестве налогоплательщика «Налог на профессиональный доход» в течение периода не менее трех месяцев до даты подачи заявки.</w:t>
      </w:r>
    </w:p>
    <w:tbl>
      <w:tblPr>
        <w:tblW w:w="49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0"/>
        <w:gridCol w:w="6485"/>
      </w:tblGrid>
      <w:tr w:rsidR="00CD16FC" w:rsidTr="00CD16FC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6FC" w:rsidRDefault="00CD16FC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Размер поддержки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6FC" w:rsidRDefault="00CD16FC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Условия для получения</w:t>
            </w:r>
          </w:p>
        </w:tc>
      </w:tr>
      <w:tr w:rsidR="00CD16FC" w:rsidTr="00CD16FC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до 50 % произведенных затрат и не более 500 тыс. рублей субъекту МСП;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до 50 % произведенных затрат и не более 100 тыс. рублей самозанятому.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предоставляется одному и тому же получателю поддержки не чаще одного раза в течение двух лет;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Получатель поддержки: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 xml:space="preserve">- </w:t>
            </w:r>
            <w:proofErr w:type="gramStart"/>
            <w:r>
              <w:rPr>
                <w:rFonts w:ascii="Verdana" w:hAnsi="Verdana"/>
                <w:sz w:val="11"/>
                <w:szCs w:val="11"/>
              </w:rPr>
              <w:t>зарегистрирован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и осуществляет деятельность на территории Березовского района Красноярского края;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имеет задолженность по уплате налогов, сборов, страховых взносов, пеней, штрафов, процентов;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имеет просроченную (неурегулированную) задолженность по денежным обязательствам перед бюджетом Березовского района;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и т.д.</w:t>
            </w:r>
          </w:p>
          <w:p w:rsidR="00CD16FC" w:rsidRDefault="00CD16FC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Подробные условия участия в отборе необходимо уточнять в администрации Березовского района.</w:t>
            </w:r>
          </w:p>
        </w:tc>
      </w:tr>
    </w:tbl>
    <w:p w:rsidR="00CD16FC" w:rsidRDefault="00CD16FC" w:rsidP="00CD16FC">
      <w:pPr>
        <w:pStyle w:val="a5"/>
        <w:spacing w:before="0" w:beforeAutospacing="0" w:afterAutospacing="0"/>
        <w:jc w:val="both"/>
      </w:pPr>
      <w:r>
        <w:t>Предприниматели и самозанятые граждане получают субсидии на развитие бизнеса на основе отбора.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lastRenderedPageBreak/>
        <w:t>Для участия в отборе заявителю необходимо предоставить пакет документов, содержащий заявку и документы для подтверждения соответствия критериям отбора в соответствии с Порядком предоставления субсидий субъектам малого и среднего предпринимательства.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Все копии документов должны быть прошиты, пронумерованы, скреплены печатью (при наличии) и заверены заявителем. Представленные документы обратно не возвращаются. Копии документов представляются с предъявлением их оригинала, после сверки подлинники документов возвращаются заявителю.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предпринимательства, на котором принимается решение о предоставлении субсидии или об отказе в предоставлении субсидии.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По результатам отбора будут заключены Соглашения с получателями субсидии, в которых будут определены показатели результативности, в целях исполнения результатов показателей и результатов муниципальной программы, которые должны быть выполнены получателями субсидии в установленные сроки.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Заявитель вправе отозвать заявку, путем письменного обращения в любое время, но не позднее даты заключения Соглашения о предоставлении субсидии.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 xml:space="preserve">Администрация района в течение 5 рабочих дней </w:t>
      </w:r>
      <w:proofErr w:type="gramStart"/>
      <w:r>
        <w:t>с даты принятия</w:t>
      </w:r>
      <w:proofErr w:type="gramEnd"/>
      <w:r>
        <w:t> </w:t>
      </w:r>
      <w:bookmarkStart w:id="0" w:name="_Hlk94876499"/>
      <w:r>
        <w:rPr>
          <w:rFonts w:ascii="Tahoma" w:hAnsi="Tahoma" w:cs="Tahoma"/>
          <w:color w:val="666666"/>
        </w:rPr>
        <w:t>решения о предоставлении субсидии </w:t>
      </w:r>
      <w:bookmarkEnd w:id="0"/>
      <w:r>
        <w:t>подготавливает проект Соглашения о предоставлении субсидии и направляет его для подписания получателю субсидии. Получатель субсидии в течение 2 рабочих дней подписывает Соглашение и предоставляет его главному распорядителю - Администрации.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29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CD16FC" w:rsidRDefault="00CD16FC" w:rsidP="00CD16FC">
      <w:pPr>
        <w:pStyle w:val="a5"/>
        <w:spacing w:before="0" w:beforeAutospacing="0" w:afterAutospacing="0"/>
        <w:jc w:val="both"/>
      </w:pPr>
      <w:r>
        <w:t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</w:t>
      </w:r>
      <w:proofErr w:type="gramStart"/>
      <w:r>
        <w:t>рг с 8.</w:t>
      </w:r>
      <w:proofErr w:type="gramEnd"/>
      <w:r>
        <w:t>00 до 17.00, пятница с 8.00 до 15.00 (перерыв с 12.00 до 13.00 часов).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784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6FC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CD1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1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F7F21FD2145B94710F06EA548E339D736CCAB6F30E37D7F24E5D2F2A65BC437B31BC431E49E806DC6397F7D519755F75C43B9D73AFBBBmFQ8C" TargetMode="External"/><Relationship Id="rId13" Type="http://schemas.openxmlformats.org/officeDocument/2006/relationships/hyperlink" Target="consultantplus://offline/ref=65AF7F21FD2145B94710F06EA548E339D736CCAB6F30E37D7F24E5D2F2A65BC437B31BC431E396836FC6397F7D519755F75C43B9D73AFBBBmFQ8C" TargetMode="External"/><Relationship Id="rId18" Type="http://schemas.openxmlformats.org/officeDocument/2006/relationships/hyperlink" Target="consultantplus://offline/ref=65AF7F21FD2145B94710F06EA548E339D736CCAB6F30E37D7F24E5D2F2A65BC437B31BC431E3978663C6397F7D519755F75C43B9D73AFBBBmFQ8C" TargetMode="External"/><Relationship Id="rId26" Type="http://schemas.openxmlformats.org/officeDocument/2006/relationships/hyperlink" Target="consultantplus://offline/ref=65AF7F21FD2145B94710F06EA548E339D736CCAB6F30E37D7F24E5D2F2A65BC437B31BC431E298816CC6397F7D519755F75C43B9D73AFBBBmFQ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AF7F21FD2145B94710F06EA548E339D736CCAB6F30E37D7F24E5D2F2A65BC437B31BC431E29E8568C6397F7D519755F75C43B9D73AFBBBmFQ8C" TargetMode="External"/><Relationship Id="rId7" Type="http://schemas.openxmlformats.org/officeDocument/2006/relationships/hyperlink" Target="consultantplus://offline/ref=65AF7F21FD2145B94710F06EA548E339D736CCAB6F30E37D7F24E5D2F2A65BC437B31BC431E596826BC6397F7D519755F75C43B9D73AFBBBmFQ8C" TargetMode="External"/><Relationship Id="rId12" Type="http://schemas.openxmlformats.org/officeDocument/2006/relationships/hyperlink" Target="consultantplus://offline/ref=65AF7F21FD2145B94710F06EA548E339D736CCAB6F30E37D7F24E5D2F2A65BC437B31BC431E3998869C6397F7D519755F75C43B9D73AFBBBmFQ8C" TargetMode="External"/><Relationship Id="rId17" Type="http://schemas.openxmlformats.org/officeDocument/2006/relationships/hyperlink" Target="consultantplus://offline/ref=65AF7F21FD2145B94710F06EA548E339D736CCAB6F30E37D7F24E5D2F2A65BC437B31BC431E397866FC6397F7D519755F75C43B9D73AFBBBmFQ8C" TargetMode="External"/><Relationship Id="rId25" Type="http://schemas.openxmlformats.org/officeDocument/2006/relationships/hyperlink" Target="consultantplus://offline/ref=65AF7F21FD2145B94710F06EA548E339D736CCAB6F30E37D7F24E5D2F2A65BC437B31BC431E29B8869C6397F7D519755F75C43B9D73AFBBBmFQ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F7F21FD2145B94710F06EA548E339D736CCAB6F30E37D7F24E5D2F2A65BC437B31BC431E397866BC6397F7D519755F75C43B9D73AFBBBmFQ8C" TargetMode="External"/><Relationship Id="rId20" Type="http://schemas.openxmlformats.org/officeDocument/2006/relationships/hyperlink" Target="consultantplus://offline/ref=65AF7F21FD2145B94710F06EA548E339D736CCAB6F30E37D7F24E5D2F2A65BC437B31BC431E29E836CC6397F7D519755F75C43B9D73AFBBBmFQ8C" TargetMode="External"/><Relationship Id="rId29" Type="http://schemas.openxmlformats.org/officeDocument/2006/relationships/hyperlink" Target="http://www.berezovsky.krskstat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F7F21FD2145B94710F06EA548E339D736CCAB6F30E37D7F24E5D2F2A65BC437B31BC431E5968162C6397F7D519755F75C43B9D73AFBBBmFQ8C" TargetMode="External"/><Relationship Id="rId11" Type="http://schemas.openxmlformats.org/officeDocument/2006/relationships/hyperlink" Target="consultantplus://offline/ref=65AF7F21FD2145B94710F06EA548E339D736CCAB6F30E37D7F24E5D2F2A65BC437B31BC431E399836AC6397F7D519755F75C43B9D73AFBBBmFQ8C" TargetMode="External"/><Relationship Id="rId24" Type="http://schemas.openxmlformats.org/officeDocument/2006/relationships/hyperlink" Target="consultantplus://offline/ref=65AF7F21FD2145B94710F06EA548E339D736CCAB6F30E37D7F24E5D2F2A65BC437B31BC431E29B846EC6397F7D519755F75C43B9D73AFBBBmFQ8C" TargetMode="External"/><Relationship Id="rId5" Type="http://schemas.openxmlformats.org/officeDocument/2006/relationships/hyperlink" Target="consultantplus://offline/ref=65AF7F21FD2145B94710F06EA548E339D736CCAB6F30E37D7F24E5D2F2A65BC437B31BC431E5998163C6397F7D519755F75C43B9D73AFBBBmFQ8C" TargetMode="External"/><Relationship Id="rId15" Type="http://schemas.openxmlformats.org/officeDocument/2006/relationships/hyperlink" Target="consultantplus://offline/ref=65AF7F21FD2145B94710F06EA548E339D736CCAB6F30E37D7F24E5D2F2A65BC437B31BC431E3978468C6397F7D519755F75C43B9D73AFBBBmFQ8C" TargetMode="External"/><Relationship Id="rId23" Type="http://schemas.openxmlformats.org/officeDocument/2006/relationships/hyperlink" Target="consultantplus://offline/ref=65AF7F21FD2145B94710F06EA548E339D736CCAB6F30E37D7F24E5D2F2A65BC437B31BC431E29B8269C6397F7D519755F75C43B9D73AFBBBmFQ8C" TargetMode="External"/><Relationship Id="rId28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10" Type="http://schemas.openxmlformats.org/officeDocument/2006/relationships/hyperlink" Target="consultantplus://offline/ref=65AF7F21FD2145B94710F06EA548E339D736CCAB6F30E37D7F24E5D2F2A65BC437B31BC431E39B846EC6397F7D519755F75C43B9D73AFBBBmFQ8C" TargetMode="External"/><Relationship Id="rId19" Type="http://schemas.openxmlformats.org/officeDocument/2006/relationships/hyperlink" Target="consultantplus://offline/ref=65AF7F21FD2145B94710F06EA548E339D736CCAB6F30E37D7F24E5D2F2A65BC437B31BC431E29E806DC6397F7D519755F75C43B9D73AFBBBmFQ8C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65AF7F21FD2145B94710F06EA548E339D736CCAB6F30E37D7F24E5D2F2A65BC437B31BC431E79A886CC6397F7D519755F75C43B9D73AFBBBmFQ8C" TargetMode="External"/><Relationship Id="rId9" Type="http://schemas.openxmlformats.org/officeDocument/2006/relationships/hyperlink" Target="consultantplus://offline/ref=65AF7F21FD2145B94710F06EA548E339D736CCAB6F30E37D7F24E5D2F2A65BC437B31BC431E49B876EC6397F7D519755F75C43B9D73AFBBBmFQ8C" TargetMode="External"/><Relationship Id="rId14" Type="http://schemas.openxmlformats.org/officeDocument/2006/relationships/hyperlink" Target="consultantplus://offline/ref=65AF7F21FD2145B94710F06EA548E339D736CCAB6F30E37D7F24E5D2F2A65BC437B31BC431E297896AC6397F7D519755F75C43B9D73AFBBBmFQ8C" TargetMode="External"/><Relationship Id="rId22" Type="http://schemas.openxmlformats.org/officeDocument/2006/relationships/hyperlink" Target="consultantplus://offline/ref=65AF7F21FD2145B94710F06EA548E339D736CCAB6F30E37D7F24E5D2F2A65BC437B31BC431E29C806BC6397F7D519755F75C43B9D73AFBBBmFQ8C" TargetMode="External"/><Relationship Id="rId27" Type="http://schemas.openxmlformats.org/officeDocument/2006/relationships/hyperlink" Target="consultantplus://offline/ref=65AF7F21FD2145B94710F06EA548E339D736CCAB6F30E37D7F24E5D2F2A65BC437B31BC431E298836DC6397F7D519755F75C43B9D73AFBBBmFQ8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2025</Words>
  <Characters>11547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2023-09-26T09:44:00Z</dcterms:created>
  <dcterms:modified xsi:type="dcterms:W3CDTF">2023-09-26T09:44:00Z</dcterms:modified>
</cp:coreProperties>
</file>