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t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t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t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14 мая 2014 г. № 816-р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c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прилагаемую Программу по антикоррупционному просвещению на 2014 - 2016 годы.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i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</w:t>
      </w:r>
      <w:r>
        <w:rPr>
          <w:color w:val="333333"/>
          <w:sz w:val="27"/>
          <w:szCs w:val="27"/>
        </w:rPr>
        <w:t>        Д.Медведев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s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распоряжением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14 мая 2014 г. № 816-р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t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ПРОГРАММА</w:t>
      </w:r>
      <w:r>
        <w:rPr>
          <w:color w:val="333333"/>
          <w:sz w:val="27"/>
          <w:szCs w:val="27"/>
        </w:rPr>
        <w:br/>
        <w:t>по антикоррупционному просвещению на 2014 - 2016 годы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014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20"/>
        <w:gridCol w:w="2968"/>
        <w:gridCol w:w="2487"/>
        <w:gridCol w:w="1296"/>
        <w:gridCol w:w="2969"/>
      </w:tblGrid>
      <w:tr w:rsidR="00000000">
        <w:trPr>
          <w:divId w:val="879049080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Исполнитель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Срок реализации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Результат реализации мероприятий, доклад о ходе их выполнения</w:t>
            </w:r>
          </w:p>
        </w:tc>
      </w:tr>
      <w:tr w:rsidR="00000000">
        <w:trPr>
          <w:divId w:val="8790490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I. Разработка и совершенствование правовой базы в целях создания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мониторинга пр</w:t>
            </w:r>
            <w:r>
              <w:rPr>
                <w:color w:val="333333"/>
              </w:rPr>
              <w:t>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</w:t>
            </w:r>
            <w:r>
              <w:rPr>
                <w:color w:val="333333"/>
              </w:rPr>
              <w:t>зят развитие правовой грамотности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 в установленной сфере деятельности,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подготовка предложений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</w:t>
            </w:r>
            <w:r>
              <w:rPr>
                <w:color w:val="333333"/>
              </w:rPr>
              <w:t xml:space="preserve"> законодательство Российской Федерации;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Исследование проблем нравственной ориентации и правосознания граждан и внесение при необходимости на основании результатов исследования изм</w:t>
            </w:r>
            <w:r>
              <w:rPr>
                <w:color w:val="333333"/>
              </w:rPr>
              <w:t>енений в законодательство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 в установленной сфере деятельности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Изучение иностранного опыта по вопросам повышения уровня правосознания граждан, популяризации антикоррупционных стандартов поведения, образования и воспитания, направленного на фо</w:t>
            </w:r>
            <w:r>
              <w:rPr>
                <w:color w:val="333333"/>
              </w:rPr>
              <w:t>рмирование антикоррупционного поведения гражданина,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</w:t>
            </w:r>
            <w:r>
              <w:rPr>
                <w:color w:val="333333"/>
              </w:rPr>
              <w:t>уд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Минэкономразвития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ФСБ России совместно с Генеральной прокуратурой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представление информации в Минюст России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декабря 2014 г.; 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Включение в федеральные государственные образовательные стандарты общего образования, среднего профессионального образования и высшего образования элементов по популяризации антикоррупционных стандартов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</w:t>
            </w:r>
            <w:r>
              <w:rPr>
                <w:color w:val="333333"/>
              </w:rPr>
              <w:t>уки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нормативные правовые акты Минобрнауки России;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Разработка проектов правовых актов, предусматривающих методическое обеспечение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правовые акты, методические пособия и печатная продукция;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Разработка методических и информационно-разъяснительных материалов об антикоррупционных стандарт</w:t>
            </w:r>
            <w:r>
              <w:rPr>
                <w:color w:val="333333"/>
              </w:rPr>
              <w:t>ах поведения для федеральных 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созданных на основании федеральных законов, государственных вне</w:t>
            </w:r>
            <w:r>
              <w:rPr>
                <w:color w:val="333333"/>
              </w:rPr>
              <w:t>бюджетных фондов и иных организаций, на которых распространены антикоррупционные стандарты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методические рекомендации, обзоры и разъяснения об антикоррупционных стандартах поведения отдельных категорий лиц и порядке их соблюдения;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8790490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II. Принятие органи</w:t>
            </w:r>
            <w:r>
              <w:rPr>
                <w:color w:val="333333"/>
              </w:rPr>
              <w:t>зационно- управленческих решений по обеспечению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</w:t>
            </w:r>
            <w:r>
              <w:rPr>
                <w:color w:val="333333"/>
              </w:rPr>
              <w:t>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2016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Информирование граждан об основных зарубежных правовых системах, предусмотренных в них правовых механизмах антикоррупционного воспитания граждан посредством размещения информации на сайте Минюста России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размещение информации на сайте Минюста России в информационно-телекоммуникационной сети "Интернет";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обязанностей, а также обеспечение образовательных организаци</w:t>
            </w:r>
            <w:r>
              <w:rPr>
                <w:color w:val="333333"/>
              </w:rPr>
              <w:t>й методическими пособиями и печатной продукцией по указанным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 совместно с Генеральной прокуратурой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создание дополнительного источника информации, посредством кот</w:t>
            </w:r>
            <w:r>
              <w:rPr>
                <w:color w:val="333333"/>
              </w:rPr>
              <w:t>орого будет проводиться познавательно-разъяснительная работа;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обеспечение потребностей государственных образовательных организаций в познавательно-разъяснительных материалах;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</w:t>
            </w:r>
            <w:r>
              <w:rPr>
                <w:color w:val="333333"/>
              </w:rPr>
              <w:t>я 2015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Обеспечение в рамках деятельности рабочей группы по вопросам совместного участия в противодействии коррупции представителей бизнес-сообщества и органов государственной власти при президиуме Совета при Президенте Российской Федерации по противодействию корр</w:t>
            </w:r>
            <w:r>
              <w:rPr>
                <w:color w:val="333333"/>
              </w:rPr>
              <w:t>упции рассмотрения вопросов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Минэкономразвития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</w:t>
            </w:r>
            <w:r>
              <w:rPr>
                <w:color w:val="333333"/>
              </w:rPr>
              <w:t>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сентября 2014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Методическая помощь образовательным организациям высшего образования, осуществляющим подготовку специалистов по специальности "Юриспруденция", в разработке спецкурса по теме "</w:t>
            </w:r>
            <w:r>
              <w:rPr>
                <w:color w:val="333333"/>
              </w:rPr>
              <w:t>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разработка и утверждение образовательными организациями отдельного спецкурса по теме "Повышение уро</w:t>
            </w:r>
            <w:r>
              <w:rPr>
                <w:color w:val="333333"/>
              </w:rPr>
              <w:t>вня правосознания граждан и популяризация антикоррупционных стандартов поведения";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Организация федеральными органами исполнительной власти и органами исполнительной власти субъектов Российской Федерации проведения "прямых линий" с гражданами по вопросам антикоррупционного просвещения, отнесенным к сфере деятельности указанных государстве</w:t>
            </w:r>
            <w:r>
              <w:rPr>
                <w:color w:val="333333"/>
              </w:rPr>
              <w:t>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 федеральные органы исполнительной власти, 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создание дополнительного источника информации, посредством которого будет проводиться познавательно-разъяс</w:t>
            </w:r>
            <w:r>
              <w:rPr>
                <w:color w:val="333333"/>
              </w:rPr>
              <w:t>нительная работа;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органов исполнительной власти субъектов Российской Федерации и иных государствен</w:t>
            </w:r>
            <w:r>
              <w:rPr>
                <w:color w:val="333333"/>
              </w:rPr>
              <w:t>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МВД России совместно с Генеральной прокуратурой Российской Федерации и Следственным комитетом Российской Федерации,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</w:t>
            </w:r>
            <w:r>
              <w:rPr>
                <w:color w:val="333333"/>
              </w:rPr>
              <w:t>нференций, встреч и круглых столов по вопросам пропаганды в средствах массовой информации стандартов антикоррупционного поведения; 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Внедрение на сайте Минюста России в информационно-телекоммуникационной сети "Интернет" федеральной интерактивной интернет-карты, отображающей участников бесплатной юридической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2015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информирование граждан об оказании бесплатной </w:t>
            </w:r>
            <w:r>
              <w:rPr>
                <w:color w:val="333333"/>
              </w:rPr>
              <w:t>юридической помощи;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2015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Направление в государственные средства массовой информации 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</w:t>
            </w:r>
            <w:r>
              <w:rPr>
                <w:color w:val="333333"/>
              </w:rPr>
              <w:t>ти и вынесенных по ним судебных решений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МВД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пропаганда законопослушного поведения граждан;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</w:t>
            </w:r>
            <w:r>
              <w:rPr>
                <w:color w:val="333333"/>
              </w:rPr>
              <w:t>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Обеспечение содействия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конференций, встреч и круглых столов с участием представителей некоммерческих организаций и религиозных объединений, участвующих в правовом просвещении, в целях обмена опытом и выявления возникающих на практике п</w:t>
            </w:r>
            <w:r>
              <w:rPr>
                <w:color w:val="333333"/>
              </w:rPr>
              <w:t>роблем;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Организация мероприятий по обмену опытом между государственными органами по вопросам формирования стандартов антикоррупционного поведения и практики их реализации, а также содействие в проведении указанных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МВ</w:t>
            </w:r>
            <w:r>
              <w:rPr>
                <w:color w:val="333333"/>
              </w:rPr>
              <w:t>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Минобрнауки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Минэкономразвития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Минкультуры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конференций, встреч и круглых с</w:t>
            </w:r>
            <w:r>
              <w:rPr>
                <w:color w:val="333333"/>
              </w:rPr>
              <w:t>толов в целях обсуждения эффективности мероприятий по формированию стандартов антикоррупционного поведения и выработки соответствующих предложений;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</w:t>
            </w:r>
            <w:r>
              <w:rPr>
                <w:color w:val="333333"/>
              </w:rPr>
              <w:t>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Рассмотрение в приоритетном порядке материалов по антикоррупционной тематике при выдвижении кандидатов в лауреаты премий Правительства Российской Федерации в области средств массовой информации, а также при отборе заявок организаций, претендующих на получе</w:t>
            </w:r>
            <w:r>
              <w:rPr>
                <w:color w:val="333333"/>
              </w:rPr>
              <w:t>ние государственной поддержки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Минкомсвязь России, Роспечать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повышение качества публикаций по антикоррупционной тематике;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</w:t>
            </w:r>
            <w:r>
              <w:rPr>
                <w:color w:val="333333"/>
              </w:rPr>
              <w:t>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комплекса мероприятий, приуроченных к Международному дню борьбы с коррупцией 9 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Минтруд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заинтересованные федеральные органы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создание условий для формирования отрицательного общественного мнения к проявлениям коррупции;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в системе жилищно-коммунального хозяйства комплекса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Минстрой России совместно с МВД России и Следственным комитетом Россий</w:t>
            </w:r>
            <w:r>
              <w:rPr>
                <w:color w:val="333333"/>
              </w:rPr>
              <w:t>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ноября 2014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Миноб</w:t>
            </w:r>
            <w:r>
              <w:rPr>
                <w:color w:val="333333"/>
              </w:rPr>
              <w:t>рнауки России совместно с МВД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иными заинтересованными федеральными органами исполнительной власти и Следственным комитетом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 ноября 2014 г.</w:t>
            </w:r>
          </w:p>
        </w:tc>
      </w:tr>
      <w:tr w:rsidR="00000000">
        <w:trPr>
          <w:divId w:val="879049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</w:t>
            </w:r>
            <w:r>
              <w:rPr>
                <w:color w:val="333333"/>
              </w:rPr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Минюст России,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федеральные органы исполнительной власти,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2014 - 2016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доклады в Правительство Российской Федерации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2014 г.,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 15 декабря 2015 г.</w:t>
            </w:r>
          </w:p>
          <w:p w:rsidR="00000000" w:rsidRDefault="002B593F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 до 15 декабря 2016 г.</w:t>
            </w:r>
          </w:p>
        </w:tc>
      </w:tr>
    </w:tbl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B593F">
      <w:pPr>
        <w:pStyle w:val="c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2B593F" w:rsidRDefault="002B593F">
      <w:pPr>
        <w:pStyle w:val="a3"/>
        <w:spacing w:line="300" w:lineRule="auto"/>
        <w:divId w:val="8790490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B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7669A5"/>
    <w:rsid w:val="002B593F"/>
    <w:rsid w:val="007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490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2026</Words>
  <Characters>11554</Characters>
  <Application>Microsoft Office Word</Application>
  <DocSecurity>0</DocSecurity>
  <Lines>96</Lines>
  <Paragraphs>27</Paragraphs>
  <ScaleCrop>false</ScaleCrop>
  <Company>Grizli777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2023-01-25T03:16:00Z</dcterms:created>
  <dcterms:modified xsi:type="dcterms:W3CDTF">2023-01-25T03:16:00Z</dcterms:modified>
</cp:coreProperties>
</file>